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АНАЛИТИЧЕСКАЯ СПРАВКА</w:t>
      </w:r>
    </w:p>
    <w:p w:rsidR="00000000" w:rsidDel="00000000" w:rsidP="00000000" w:rsidRDefault="00000000" w:rsidRPr="00000000" w14:paraId="00000002">
      <w:pPr>
        <w:ind w:left="-284" w:firstLine="7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результатам внутреннего анализа коррупционных рисков </w:t>
      </w:r>
    </w:p>
    <w:p w:rsidR="00000000" w:rsidDel="00000000" w:rsidP="00000000" w:rsidRDefault="00000000" w:rsidRPr="00000000" w14:paraId="00000003">
      <w:pPr>
        <w:ind w:left="-284" w:firstLine="7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деятельности КГУ «Приозерная начальная школа отдела образования района Беимбета Майлина» Управления образования акимата Костанайской области</w:t>
      </w:r>
    </w:p>
    <w:p w:rsidR="00000000" w:rsidDel="00000000" w:rsidP="00000000" w:rsidRDefault="00000000" w:rsidRPr="00000000" w14:paraId="00000004">
      <w:pPr>
        <w:ind w:left="-284" w:firstLine="71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с.Приозерное</w:t>
        <w:tab/>
        <w:tab/>
        <w:tab/>
        <w:tab/>
        <w:tab/>
        <w:tab/>
        <w:tab/>
        <w:t xml:space="preserve">"10"  мая 2025 года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tab/>
        <w:tab/>
        <w:tab/>
        <w:tab/>
        <w:tab/>
        <w:tab/>
        <w:tab/>
        <w:tab/>
        <w:tab/>
        <w:tab/>
        <w:tab/>
        <w:tab/>
        <w:tab/>
        <w:tab/>
        <w:tab/>
        <w:tab/>
        <w:tab/>
        <w:tab/>
      </w:r>
    </w:p>
    <w:p w:rsidR="00000000" w:rsidDel="00000000" w:rsidP="00000000" w:rsidRDefault="00000000" w:rsidRPr="00000000" w14:paraId="00000007">
      <w:pPr>
        <w:ind w:left="-284" w:firstLine="71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пунктом 5 статьи 8 Закона Республики Казахстан от 18 ноября 2015 года «О противодействии коррупции», типовых правил проведения внутреннего анализа коррупционных рисков утвержденные Агентством Республики Казахстан по противодействию коррупции (Антикоррупционная служба) от 30 декабря 2022 года за №488, осуществляется  внутренний анализ коррупционных рисков в КГУ «Приозерная начальная школа»</w:t>
      </w:r>
      <w:r w:rsidDel="00000000" w:rsidR="00000000" w:rsidRPr="00000000">
        <w:rPr>
          <w:rtl w:val="0"/>
        </w:rPr>
      </w:r>
    </w:p>
    <w:p w:rsidR="00000000" w:rsidDel="00000000" w:rsidP="00000000" w:rsidRDefault="00000000" w:rsidRPr="00000000" w14:paraId="00000009">
      <w:pPr>
        <w:keepNext w:val="1"/>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Объектом внутреннего анализа коррупционных рисков (далее – Анализ) является деятельность КГУ КГУ «Приозерная начальная школа»</w:t>
      </w:r>
    </w:p>
    <w:p w:rsidR="00000000" w:rsidDel="00000000" w:rsidP="00000000" w:rsidRDefault="00000000" w:rsidRPr="00000000" w14:paraId="0000000A">
      <w:pPr>
        <w:keepNext w:val="1"/>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целях проведения внутреннего анализа коррупционных рисков в деятельности Предприятия приказом руководителя КГУ «Приозерная начальная школа» приказа №1 от 02.10.2024 </w:t>
      </w:r>
    </w:p>
    <w:p w:rsidR="00000000" w:rsidDel="00000000" w:rsidP="00000000" w:rsidRDefault="00000000" w:rsidRPr="00000000" w14:paraId="0000000B">
      <w:pPr>
        <w:keepNext w:val="1"/>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rsidR="00000000" w:rsidDel="00000000" w:rsidP="00000000" w:rsidRDefault="00000000" w:rsidRPr="00000000" w14:paraId="0000000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Период проведения внутреннего анализа коррупционных рисков –  с 1 июля 2024 года по 30 июня 2025 года.</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Цели и задачи проведения анализа </w:t>
      </w: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анализа является противодействие и устранение коррупции в  КГУ КГУ «Приозерная начальная школа»</w:t>
      </w:r>
    </w:p>
    <w:p w:rsidR="00000000" w:rsidDel="00000000" w:rsidP="00000000" w:rsidRDefault="00000000" w:rsidRPr="00000000" w14:paraId="0000000F">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Задачей анализа является выявление условий и причин, способствующих совершению коррупционных правонарушений, и устранения их последствий в деятельности КГУ «Приозерная начальная школа»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Источники информации, использованные в ходе анализа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пункту 15 Правил проведения внутреннего анализа коррупционных рисков источниками информации для проведения внутреннего анализа коррупционных рисков являются: </w:t>
      </w:r>
    </w:p>
    <w:p w:rsidR="00000000" w:rsidDel="00000000" w:rsidP="00000000" w:rsidRDefault="00000000" w:rsidRPr="00000000" w14:paraId="00000012">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правовые акты и внутренние документы, регулирующие деятельность объекта анализа;</w:t>
      </w:r>
    </w:p>
    <w:p w:rsidR="00000000" w:rsidDel="00000000" w:rsidP="00000000" w:rsidRDefault="00000000" w:rsidRPr="00000000" w14:paraId="00000013">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статистическая отчетность о деятельности объекта анализа;</w:t>
      </w:r>
    </w:p>
    <w:p w:rsidR="00000000" w:rsidDel="00000000" w:rsidP="00000000" w:rsidRDefault="00000000" w:rsidRPr="00000000" w14:paraId="00000014">
      <w:pPr>
        <w:tabs>
          <w:tab w:val="left" w:leader="none" w:pos="993"/>
        </w:tabs>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000000" w:rsidDel="00000000" w:rsidP="00000000" w:rsidRDefault="00000000" w:rsidRPr="00000000" w14:paraId="00000015">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результаты проверок, ранее проведенных государственными органами в отношении объекта анализа;</w:t>
      </w:r>
    </w:p>
    <w:p w:rsidR="00000000" w:rsidDel="00000000" w:rsidP="00000000" w:rsidRDefault="00000000" w:rsidRPr="00000000" w14:paraId="00000016">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результаты контрольных мероприятий служб внутреннего контроля;</w:t>
      </w:r>
    </w:p>
    <w:p w:rsidR="00000000" w:rsidDel="00000000" w:rsidP="00000000" w:rsidRDefault="00000000" w:rsidRPr="00000000" w14:paraId="00000017">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результаты антикоррупционного мониторинга;</w:t>
      </w:r>
    </w:p>
    <w:p w:rsidR="00000000" w:rsidDel="00000000" w:rsidP="00000000" w:rsidRDefault="00000000" w:rsidRPr="00000000" w14:paraId="00000018">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публикации в средствах массовой информации;</w:t>
      </w:r>
    </w:p>
    <w:p w:rsidR="00000000" w:rsidDel="00000000" w:rsidP="00000000" w:rsidRDefault="00000000" w:rsidRPr="00000000" w14:paraId="00000019">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обращения физических и юридических лиц в отношении объекта анализа;</w:t>
      </w:r>
    </w:p>
    <w:p w:rsidR="00000000" w:rsidDel="00000000" w:rsidP="00000000" w:rsidRDefault="00000000" w:rsidRPr="00000000" w14:paraId="0000001A">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rsidR="00000000" w:rsidDel="00000000" w:rsidP="00000000" w:rsidRDefault="00000000" w:rsidRPr="00000000" w14:paraId="0000001B">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решения судебных органов в отношении действий работников объекта анализа, фабулы уголовных дел;</w:t>
      </w:r>
    </w:p>
    <w:p w:rsidR="00000000" w:rsidDel="00000000" w:rsidP="00000000" w:rsidRDefault="00000000" w:rsidRPr="00000000" w14:paraId="0000001C">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результаты ранее проведенного внешнего анализа коррупционных рисков;</w:t>
      </w:r>
    </w:p>
    <w:p w:rsidR="00000000" w:rsidDel="00000000" w:rsidP="00000000" w:rsidRDefault="00000000" w:rsidRPr="00000000" w14:paraId="0000001D">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результаты ранее проведенного внутреннего анализа коррупционных рисков;</w:t>
      </w:r>
    </w:p>
    <w:p w:rsidR="00000000" w:rsidDel="00000000" w:rsidP="00000000" w:rsidRDefault="00000000" w:rsidRPr="00000000" w14:paraId="0000001E">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результаты опроса служащих, работников объекта анализа;</w:t>
      </w:r>
    </w:p>
    <w:p w:rsidR="00000000" w:rsidDel="00000000" w:rsidP="00000000" w:rsidRDefault="00000000" w:rsidRPr="00000000" w14:paraId="0000001F">
      <w:pPr>
        <w:tabs>
          <w:tab w:val="left" w:leader="none" w:pos="1134"/>
        </w:tabs>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14)иные сведения, представление которых не запрещено законодательством Республики Казахстан.</w:t>
      </w:r>
    </w:p>
    <w:p w:rsidR="00000000" w:rsidDel="00000000" w:rsidP="00000000" w:rsidRDefault="00000000" w:rsidRPr="00000000" w14:paraId="00000020">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tabs>
          <w:tab w:val="left" w:leader="none" w:pos="993"/>
        </w:tabs>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I. Коррупционные риски в нормативных правовых актах</w:t>
      </w:r>
    </w:p>
    <w:p w:rsidR="00000000" w:rsidDel="00000000" w:rsidP="00000000" w:rsidRDefault="00000000" w:rsidRPr="00000000" w14:paraId="00000022">
      <w:pPr>
        <w:keepNext w:val="0"/>
        <w:keepLines w:val="0"/>
        <w:pageBreakBefore w:val="0"/>
        <w:widowControl w:val="1"/>
        <w:pBdr>
          <w:top w:space="0" w:sz="0" w:val="nil"/>
          <w:left w:space="0" w:sz="0" w:val="nil"/>
          <w:bottom w:color="ffffff" w:space="0" w:sz="4" w:val="single"/>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1.1. Реализация основных функций</w:t>
      </w:r>
    </w:p>
    <w:p w:rsidR="00000000" w:rsidDel="00000000" w:rsidP="00000000" w:rsidRDefault="00000000" w:rsidRPr="00000000" w14:paraId="00000023">
      <w:pPr>
        <w:tabs>
          <w:tab w:val="left" w:leader="none" w:pos="993"/>
          <w:tab w:val="left" w:leader="none" w:pos="4380"/>
        </w:tabs>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Нормативная база: 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Коррупционные риски-0</w:t>
      </w:r>
    </w:p>
    <w:p w:rsidR="00000000" w:rsidDel="00000000" w:rsidP="00000000" w:rsidRDefault="00000000" w:rsidRPr="00000000" w14:paraId="00000025">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26">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27">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Выявление коррупционных рисков во внутренних документах (далее - ВНД).</w:t>
      </w:r>
    </w:p>
    <w:p w:rsidR="00000000" w:rsidDel="00000000" w:rsidP="00000000" w:rsidRDefault="00000000" w:rsidRPr="00000000" w14:paraId="00000028">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29">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2A">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r>
      <w:r w:rsidDel="00000000" w:rsidR="00000000" w:rsidRPr="00000000">
        <w:rPr>
          <w:rFonts w:ascii="Times New Roman" w:cs="Times New Roman" w:eastAsia="Times New Roman" w:hAnsi="Times New Roman"/>
          <w:sz w:val="28"/>
          <w:szCs w:val="28"/>
          <w:rtl w:val="0"/>
        </w:rPr>
        <w:t xml:space="preserve">Рекомендации</w:t>
      </w:r>
    </w:p>
    <w:p w:rsidR="00000000" w:rsidDel="00000000" w:rsidP="00000000" w:rsidRDefault="00000000" w:rsidRPr="00000000" w14:paraId="0000002B">
      <w:pPr>
        <w:pBdr>
          <w:bottom w:color="ffffff" w:space="31" w:sz="4" w:val="single"/>
        </w:pBdr>
        <w:ind w:right="0"/>
        <w:jc w:val="both"/>
        <w:rPr>
          <w:b w:val="1"/>
          <w:color w:val="000000"/>
          <w:sz w:val="28"/>
          <w:szCs w:val="28"/>
          <w:highlight w:val="white"/>
        </w:rPr>
      </w:pPr>
      <w:r w:rsidDel="00000000" w:rsidR="00000000" w:rsidRPr="00000000">
        <w:rPr>
          <w:b w:val="1"/>
          <w:color w:val="000000"/>
          <w:sz w:val="28"/>
          <w:szCs w:val="28"/>
          <w:highlight w:val="white"/>
          <w:rtl w:val="0"/>
        </w:rPr>
        <w:t xml:space="preserve">II. Коррупционные риски в организационно-управленческой деятельности</w:t>
      </w:r>
    </w:p>
    <w:p w:rsidR="00000000" w:rsidDel="00000000" w:rsidP="00000000" w:rsidRDefault="00000000" w:rsidRPr="00000000" w14:paraId="0000002C">
      <w:pPr>
        <w:pBdr>
          <w:bottom w:color="ffffff" w:space="31" w:sz="4" w:val="single"/>
        </w:pBdr>
        <w:ind w:right="0"/>
        <w:jc w:val="both"/>
        <w:rPr>
          <w:b w:val="1"/>
          <w:color w:val="000000"/>
          <w:sz w:val="28"/>
          <w:szCs w:val="28"/>
          <w:highlight w:val="white"/>
        </w:rPr>
      </w:pPr>
      <w:r w:rsidDel="00000000" w:rsidR="00000000" w:rsidRPr="00000000">
        <w:rPr>
          <w:b w:val="1"/>
          <w:color w:val="000000"/>
          <w:sz w:val="28"/>
          <w:szCs w:val="28"/>
          <w:highlight w:val="white"/>
          <w:rtl w:val="0"/>
        </w:rPr>
        <w:t xml:space="preserve">2.1. Оказание государственных услуг</w:t>
      </w:r>
    </w:p>
    <w:p w:rsidR="00000000" w:rsidDel="00000000" w:rsidP="00000000" w:rsidRDefault="00000000" w:rsidRPr="00000000" w14:paraId="0000002D">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2E">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2F">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30">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31">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Кадровая политика</w:t>
      </w:r>
      <w:r w:rsidDel="00000000" w:rsidR="00000000" w:rsidRPr="00000000">
        <w:rPr>
          <w:rtl w:val="0"/>
        </w:rPr>
      </w:r>
    </w:p>
    <w:p w:rsidR="00000000" w:rsidDel="00000000" w:rsidP="00000000" w:rsidRDefault="00000000" w:rsidRPr="00000000" w14:paraId="00000032">
      <w:pPr>
        <w:pBdr>
          <w:bottom w:color="ffffff" w:space="31" w:sz="4" w:val="single"/>
        </w:pBdr>
        <w:ind w:right="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ab/>
        <w:t xml:space="preserve">Управление персоналом, в том числе сменяемость кадров</w:t>
      </w:r>
    </w:p>
    <w:p w:rsidR="00000000" w:rsidDel="00000000" w:rsidP="00000000" w:rsidRDefault="00000000" w:rsidRPr="00000000" w14:paraId="00000033">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r w:rsidDel="00000000" w:rsidR="00000000" w:rsidRPr="00000000">
        <w:rPr>
          <w:rtl w:val="0"/>
        </w:rPr>
      </w:r>
    </w:p>
    <w:p w:rsidR="00000000" w:rsidDel="00000000" w:rsidP="00000000" w:rsidRDefault="00000000" w:rsidRPr="00000000" w14:paraId="00000034">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35">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36">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Дисциплинарная практика</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37">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Дисциплинарные взыскания с 1 июля 2024 год по май 2025 года на сотрудников не налагались.</w:t>
      </w:r>
      <w:r w:rsidDel="00000000" w:rsidR="00000000" w:rsidRPr="00000000">
        <w:rPr>
          <w:rtl w:val="0"/>
        </w:rPr>
      </w:r>
    </w:p>
    <w:p w:rsidR="00000000" w:rsidDel="00000000" w:rsidP="00000000" w:rsidRDefault="00000000" w:rsidRPr="00000000" w14:paraId="00000038">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Этический кодекс государственных служащих Республики Казахстан</w:t>
        <w:br w:type="textWrapping"/>
        <w:t xml:space="preserve">(Правила служебной этики государственных служащих) сотрудниками не нарушался.</w:t>
      </w:r>
    </w:p>
    <w:p w:rsidR="00000000" w:rsidDel="00000000" w:rsidP="00000000" w:rsidRDefault="00000000" w:rsidRPr="00000000" w14:paraId="00000039">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Сотрудниками приняты антикоррупционные ограничения. </w:t>
      </w:r>
    </w:p>
    <w:p w:rsidR="00000000" w:rsidDel="00000000" w:rsidP="00000000" w:rsidRDefault="00000000" w:rsidRPr="00000000" w14:paraId="0000003A">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Трудовую дисциплину не нарушали.</w:t>
      </w:r>
    </w:p>
    <w:p w:rsidR="00000000" w:rsidDel="00000000" w:rsidP="00000000" w:rsidRDefault="00000000" w:rsidRPr="00000000" w14:paraId="0000003B">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средствах массовой информации на сотрудников негативная информация не размещалась.</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ind w:firstLine="708"/>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Конфликт интересов</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БЛИЗКИХ РОДСТВЕННИКОВ (В ПРЯМОМ ПОДЧИНЕНИИ И БЕЗ ПОДЧИНЕНИЯ)-нет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bl>
      <w:tblPr>
        <w:tblStyle w:val="Table1"/>
        <w:tblW w:w="11106.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
        <w:gridCol w:w="1803"/>
        <w:gridCol w:w="2459"/>
        <w:gridCol w:w="1512"/>
        <w:gridCol w:w="2282"/>
        <w:gridCol w:w="2694"/>
        <w:tblGridChange w:id="0">
          <w:tblGrid>
            <w:gridCol w:w="356"/>
            <w:gridCol w:w="1803"/>
            <w:gridCol w:w="2459"/>
            <w:gridCol w:w="1512"/>
            <w:gridCol w:w="2282"/>
            <w:gridCol w:w="2694"/>
          </w:tblGrid>
        </w:tblGridChange>
      </w:tblGrid>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ФИО </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ДОЛЖНОСТЬ</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ВИД РОДСТВА </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ПРЯМОЕ ПОДЧИНЕНИЕ</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(ДА/НЕТ)</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КЕМ НАЗНАЧЕН</w:t>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Коррупционные риски-0</w:t>
      </w:r>
      <w:r w:rsidDel="00000000" w:rsidR="00000000" w:rsidRPr="00000000">
        <w:rPr>
          <w:rtl w:val="0"/>
        </w:rPr>
      </w:r>
    </w:p>
    <w:p w:rsidR="00000000" w:rsidDel="00000000" w:rsidP="00000000" w:rsidRDefault="00000000" w:rsidRPr="00000000" w14:paraId="00000055">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b w:val="1"/>
          <w:sz w:val="28"/>
          <w:szCs w:val="28"/>
          <w:rtl w:val="0"/>
        </w:rPr>
        <w:tab/>
        <w:t xml:space="preserve">Обоснование</w:t>
      </w:r>
      <w:r w:rsidDel="00000000" w:rsidR="00000000" w:rsidRPr="00000000">
        <w:rPr>
          <w:rtl w:val="0"/>
        </w:rPr>
      </w:r>
    </w:p>
    <w:p w:rsidR="00000000" w:rsidDel="00000000" w:rsidP="00000000" w:rsidRDefault="00000000" w:rsidRPr="00000000" w14:paraId="00000056">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Рекомендации по устранению</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Выявление коррупционных рисков в финансово-хозяйственной деятельность:</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color="ffffff" w:space="0" w:sz="4"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2.3. Цифровизация процессов. Документооборот</w:t>
      </w:r>
    </w:p>
    <w:p w:rsidR="00000000" w:rsidDel="00000000" w:rsidP="00000000" w:rsidRDefault="00000000" w:rsidRPr="00000000" w14:paraId="0000005A">
      <w:pPr>
        <w:keepNext w:val="0"/>
        <w:keepLines w:val="0"/>
        <w:pageBreakBefore w:val="0"/>
        <w:widowControl w:val="1"/>
        <w:pBdr>
          <w:top w:space="0" w:sz="0" w:val="nil"/>
          <w:left w:space="0" w:sz="0" w:val="nil"/>
          <w:bottom w:color="ffffff" w:space="0" w:sz="4" w:val="single"/>
          <w:right w:space="0" w:sz="0" w:val="nil"/>
          <w:between w:space="0" w:sz="0" w:val="nil"/>
        </w:pBdr>
        <w:shd w:fill="auto" w:val="clear"/>
        <w:spacing w:after="0" w:before="0" w:line="240" w:lineRule="auto"/>
        <w:ind w:left="-284" w:right="0" w:firstLine="993.0000000000001"/>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Учет документации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Коррупционные риски-0</w:t>
      </w:r>
    </w:p>
    <w:p w:rsidR="00000000" w:rsidDel="00000000" w:rsidP="00000000" w:rsidRDefault="00000000" w:rsidRPr="00000000" w14:paraId="0000005C">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5D">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5E">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Рассмотрение обращений физических и юридических лиц</w:t>
      </w:r>
    </w:p>
    <w:p w:rsidR="00000000" w:rsidDel="00000000" w:rsidP="00000000" w:rsidRDefault="00000000" w:rsidRPr="00000000" w14:paraId="00000060">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r w:rsidDel="00000000" w:rsidR="00000000" w:rsidRPr="00000000">
        <w:rPr>
          <w:rtl w:val="0"/>
        </w:rPr>
      </w:r>
    </w:p>
    <w:p w:rsidR="00000000" w:rsidDel="00000000" w:rsidP="00000000" w:rsidRDefault="00000000" w:rsidRPr="00000000" w14:paraId="00000061">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62">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63">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2.5. Обеспечение открытости информации</w:t>
      </w:r>
      <w:r w:rsidDel="00000000" w:rsidR="00000000" w:rsidRPr="00000000">
        <w:rPr>
          <w:rtl w:val="0"/>
        </w:rPr>
      </w:r>
    </w:p>
    <w:p w:rsidR="00000000" w:rsidDel="00000000" w:rsidP="00000000" w:rsidRDefault="00000000" w:rsidRPr="00000000" w14:paraId="00000064">
      <w:pPr>
        <w:pBdr>
          <w:bottom w:color="ffffff" w:space="31" w:sz="4" w:val="single"/>
        </w:pBdr>
        <w:ind w:right="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КГУ «Приозерная начальная школа» информация размещается на интернет-ресурсах  ,Instagram, Фейсбук, школьный сайт</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65">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66">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67">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68">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 Результаты антикоррупционного и общественного мониторинга</w:t>
      </w:r>
    </w:p>
    <w:p w:rsidR="00000000" w:rsidDel="00000000" w:rsidP="00000000" w:rsidRDefault="00000000" w:rsidRPr="00000000" w14:paraId="00000069">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6A">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6B">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6C">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Реализация контрольный и разрешительных функций</w:t>
      </w:r>
    </w:p>
    <w:p w:rsidR="00000000" w:rsidDel="00000000" w:rsidP="00000000" w:rsidRDefault="00000000" w:rsidRPr="00000000" w14:paraId="0000006D">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r w:rsidDel="00000000" w:rsidR="00000000" w:rsidRPr="00000000">
        <w:rPr>
          <w:rtl w:val="0"/>
        </w:rPr>
      </w:r>
    </w:p>
    <w:p w:rsidR="00000000" w:rsidDel="00000000" w:rsidP="00000000" w:rsidRDefault="00000000" w:rsidRPr="00000000" w14:paraId="0000006E">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6F">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70">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 Анализ судебной практики</w:t>
      </w:r>
    </w:p>
    <w:p w:rsidR="00000000" w:rsidDel="00000000" w:rsidP="00000000" w:rsidRDefault="00000000" w:rsidRPr="00000000" w14:paraId="00000071">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Судебных процессов не было</w:t>
      </w:r>
      <w:r w:rsidDel="00000000" w:rsidR="00000000" w:rsidRPr="00000000">
        <w:rPr>
          <w:rtl w:val="0"/>
        </w:rPr>
      </w:r>
    </w:p>
    <w:p w:rsidR="00000000" w:rsidDel="00000000" w:rsidP="00000000" w:rsidRDefault="00000000" w:rsidRPr="00000000" w14:paraId="00000072">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Коррупционные риски-0</w:t>
      </w:r>
    </w:p>
    <w:p w:rsidR="00000000" w:rsidDel="00000000" w:rsidP="00000000" w:rsidRDefault="00000000" w:rsidRPr="00000000" w14:paraId="00000073">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p>
    <w:p w:rsidR="00000000" w:rsidDel="00000000" w:rsidP="00000000" w:rsidRDefault="00000000" w:rsidRPr="00000000" w14:paraId="00000074">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75">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76">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 Сведения о результатах проверок надзорных органов</w:t>
      </w:r>
    </w:p>
    <w:p w:rsidR="00000000" w:rsidDel="00000000" w:rsidP="00000000" w:rsidRDefault="00000000" w:rsidRPr="00000000" w14:paraId="00000077">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78">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79">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7A">
      <w:pPr>
        <w:pBdr>
          <w:bottom w:color="ffffff" w:space="31" w:sz="4" w:val="single"/>
        </w:pBdr>
        <w:ind w:right="0"/>
        <w:jc w:val="both"/>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7B">
      <w:pPr>
        <w:pBdr>
          <w:bottom w:color="ffffff" w:space="31" w:sz="4" w:val="single"/>
        </w:pBdr>
        <w:ind w:right="0"/>
        <w:jc w:val="both"/>
        <w:rPr>
          <w:b w:val="1"/>
          <w:sz w:val="28"/>
          <w:szCs w:val="28"/>
        </w:rPr>
      </w:pPr>
      <w:r w:rsidDel="00000000" w:rsidR="00000000" w:rsidRPr="00000000">
        <w:rPr>
          <w:sz w:val="28"/>
          <w:szCs w:val="28"/>
          <w:rtl w:val="0"/>
        </w:rPr>
        <w:t xml:space="preserve">2.10.</w:t>
      </w:r>
      <w:r w:rsidDel="00000000" w:rsidR="00000000" w:rsidRPr="00000000">
        <w:rPr>
          <w:b w:val="1"/>
          <w:sz w:val="28"/>
          <w:szCs w:val="28"/>
          <w:rtl w:val="0"/>
        </w:rPr>
        <w:t xml:space="preserve">Сведения  о результатах проверок фискальных органов</w:t>
      </w:r>
    </w:p>
    <w:p w:rsidR="00000000" w:rsidDel="00000000" w:rsidP="00000000" w:rsidRDefault="00000000" w:rsidRPr="00000000" w14:paraId="0000007C">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7D">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7E">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7F">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b w:val="1"/>
          <w:sz w:val="28"/>
          <w:szCs w:val="28"/>
          <w:rtl w:val="0"/>
        </w:rPr>
        <w:t xml:space="preserve">2.11. Сведения правоохранительных органов, неправительственных организаций и граждан</w:t>
      </w:r>
      <w:r w:rsidDel="00000000" w:rsidR="00000000" w:rsidRPr="00000000">
        <w:rPr>
          <w:rtl w:val="0"/>
        </w:rPr>
      </w:r>
    </w:p>
    <w:p w:rsidR="00000000" w:rsidDel="00000000" w:rsidP="00000000" w:rsidRDefault="00000000" w:rsidRPr="00000000" w14:paraId="00000080">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r w:rsidDel="00000000" w:rsidR="00000000" w:rsidRPr="00000000">
        <w:rPr>
          <w:rtl w:val="0"/>
        </w:rPr>
      </w:r>
    </w:p>
    <w:p w:rsidR="00000000" w:rsidDel="00000000" w:rsidP="00000000" w:rsidRDefault="00000000" w:rsidRPr="00000000" w14:paraId="00000081">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82">
      <w:pPr>
        <w:pBdr>
          <w:bottom w:color="ffffff" w:space="31" w:sz="4" w:val="single"/>
        </w:pBdr>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p>
    <w:p w:rsidR="00000000" w:rsidDel="00000000" w:rsidP="00000000" w:rsidRDefault="00000000" w:rsidRPr="00000000" w14:paraId="00000083">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b w:val="1"/>
          <w:color w:val="000000"/>
          <w:sz w:val="28"/>
          <w:szCs w:val="28"/>
          <w:rtl w:val="0"/>
        </w:rPr>
        <w:t xml:space="preserve">2.11. Мониторинг СМИ и иных источников информации</w:t>
      </w:r>
      <w:r w:rsidDel="00000000" w:rsidR="00000000" w:rsidRPr="00000000">
        <w:rPr>
          <w:rtl w:val="0"/>
        </w:rPr>
      </w:r>
    </w:p>
    <w:p w:rsidR="00000000" w:rsidDel="00000000" w:rsidP="00000000" w:rsidRDefault="00000000" w:rsidRPr="00000000" w14:paraId="00000084">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85">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color w:val="000000"/>
          <w:sz w:val="28"/>
          <w:szCs w:val="28"/>
          <w:highlight w:val="white"/>
          <w:rtl w:val="0"/>
        </w:rPr>
        <w:t xml:space="preserve">Коррупционные риски-0</w:t>
      </w:r>
    </w:p>
    <w:p w:rsidR="00000000" w:rsidDel="00000000" w:rsidP="00000000" w:rsidRDefault="00000000" w:rsidRPr="00000000" w14:paraId="00000086">
      <w:pPr>
        <w:pBdr>
          <w:bottom w:color="ffffff" w:space="31" w:sz="4" w:val="single"/>
        </w:pBdr>
        <w:ind w:right="0"/>
        <w:jc w:val="both"/>
        <w:rPr>
          <w:rFonts w:ascii="Times New Roman" w:cs="Times New Roman" w:eastAsia="Times New Roman" w:hAnsi="Times New Roman"/>
          <w:color w:val="151515"/>
          <w:sz w:val="28"/>
          <w:szCs w:val="28"/>
        </w:rPr>
      </w:pPr>
      <w:r w:rsidDel="00000000" w:rsidR="00000000" w:rsidRPr="00000000">
        <w:rPr>
          <w:rFonts w:ascii="Times New Roman" w:cs="Times New Roman" w:eastAsia="Times New Roman" w:hAnsi="Times New Roman"/>
          <w:sz w:val="28"/>
          <w:szCs w:val="28"/>
          <w:rtl w:val="0"/>
        </w:rPr>
        <w:tab/>
        <w:t xml:space="preserve">Обоснование</w:t>
      </w:r>
      <w:r w:rsidDel="00000000" w:rsidR="00000000" w:rsidRPr="00000000">
        <w:rPr>
          <w:rtl w:val="0"/>
        </w:rPr>
      </w:r>
    </w:p>
    <w:p w:rsidR="00000000" w:rsidDel="00000000" w:rsidP="00000000" w:rsidRDefault="00000000" w:rsidRPr="00000000" w14:paraId="00000087">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ab/>
        <w:t xml:space="preserve">Рекомендации по устранению</w:t>
      </w:r>
      <w:r w:rsidDel="00000000" w:rsidR="00000000" w:rsidRPr="00000000">
        <w:rPr>
          <w:rtl w:val="0"/>
        </w:rPr>
      </w:r>
    </w:p>
    <w:p w:rsidR="00000000" w:rsidDel="00000000" w:rsidP="00000000" w:rsidRDefault="00000000" w:rsidRPr="00000000" w14:paraId="00000088">
      <w:pPr>
        <w:pBdr>
          <w:bottom w:color="ffffff" w:space="31" w:sz="4" w:val="single"/>
        </w:pBdr>
        <w:ind w:right="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Вывод.</w:t>
      </w:r>
    </w:p>
    <w:p w:rsidR="00000000" w:rsidDel="00000000" w:rsidP="00000000" w:rsidRDefault="00000000" w:rsidRPr="00000000" w14:paraId="00000089">
      <w:pPr>
        <w:pBdr>
          <w:bottom w:color="ffffff" w:space="31" w:sz="4" w:val="single"/>
        </w:pBdr>
        <w:ind w:right="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По итогам проведенного внутреннего анализа коррупционных рисков  коррупционные риски  не выявлены.</w:t>
      </w: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             И.о.заведующая школы:                            Нурмухамбетова Н.О.</w:t>
      </w:r>
    </w:p>
    <w:p w:rsidR="00000000" w:rsidDel="00000000" w:rsidP="00000000" w:rsidRDefault="00000000" w:rsidRPr="00000000" w14:paraId="0000008C">
      <w:pPr>
        <w:ind w:firstLine="567"/>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D">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Руководитель рабочей группы:</w:t>
      </w:r>
      <w:r w:rsidDel="00000000" w:rsidR="00000000" w:rsidRPr="00000000">
        <w:rPr>
          <w:rFonts w:ascii="Times New Roman" w:cs="Times New Roman" w:eastAsia="Times New Roman" w:hAnsi="Times New Roman"/>
          <w:sz w:val="28"/>
          <w:szCs w:val="28"/>
          <w:rtl w:val="0"/>
        </w:rPr>
        <w:tab/>
        <w:t xml:space="preserve">                </w:t>
      </w:r>
      <w:r w:rsidDel="00000000" w:rsidR="00000000" w:rsidRPr="00000000">
        <w:rPr>
          <w:rFonts w:ascii="Times New Roman" w:cs="Times New Roman" w:eastAsia="Times New Roman" w:hAnsi="Times New Roman"/>
          <w:b w:val="1"/>
          <w:sz w:val="28"/>
          <w:szCs w:val="28"/>
          <w:rtl w:val="0"/>
        </w:rPr>
        <w:t xml:space="preserve">Амирова Л.М.</w:t>
      </w:r>
      <w:r w:rsidDel="00000000" w:rsidR="00000000" w:rsidRPr="00000000">
        <w:rPr>
          <w:rFonts w:ascii="Times New Roman" w:cs="Times New Roman" w:eastAsia="Times New Roman" w:hAnsi="Times New Roman"/>
          <w:sz w:val="28"/>
          <w:szCs w:val="28"/>
          <w:rtl w:val="0"/>
        </w:rPr>
        <w:tab/>
        <w:tab/>
        <w:tab/>
        <w:tab/>
        <w:tab/>
      </w:r>
      <w:r w:rsidDel="00000000" w:rsidR="00000000" w:rsidRPr="00000000">
        <w:rPr>
          <w:rtl w:val="0"/>
        </w:rPr>
      </w:r>
    </w:p>
    <w:p w:rsidR="00000000" w:rsidDel="00000000" w:rsidP="00000000" w:rsidRDefault="00000000" w:rsidRPr="00000000" w14:paraId="0000008E">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r>
    </w:p>
    <w:p w:rsidR="00000000" w:rsidDel="00000000" w:rsidP="00000000" w:rsidRDefault="00000000" w:rsidRPr="00000000" w14:paraId="0000009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ind w:left="538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 к Методическим рекомендациям по проведению внутреннего анализа коррупционных рисков Перечень должностей, подверженных коррупционным рискам, определенных по итогам внутреннего анализа коррупционных рисков</w:t>
      </w:r>
    </w:p>
    <w:p w:rsidR="00000000" w:rsidDel="00000000" w:rsidP="00000000" w:rsidRDefault="00000000" w:rsidRPr="00000000" w14:paraId="00000092">
      <w:pPr>
        <w:jc w:val="center"/>
        <w:rPr>
          <w:rFonts w:ascii="Times New Roman" w:cs="Times New Roman" w:eastAsia="Times New Roman" w:hAnsi="Times New Roman"/>
          <w:sz w:val="28"/>
          <w:szCs w:val="28"/>
        </w:rPr>
      </w:pPr>
      <w:r w:rsidDel="00000000" w:rsidR="00000000" w:rsidRPr="00000000">
        <w:rPr>
          <w:rtl w:val="0"/>
        </w:rPr>
      </w:r>
    </w:p>
    <w:tbl>
      <w:tblPr>
        <w:tblStyle w:val="Table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4109"/>
        <w:gridCol w:w="2997"/>
        <w:gridCol w:w="2533"/>
        <w:tblGridChange w:id="0">
          <w:tblGrid>
            <w:gridCol w:w="817"/>
            <w:gridCol w:w="4109"/>
            <w:gridCol w:w="2997"/>
            <w:gridCol w:w="2533"/>
          </w:tblGrid>
        </w:tblGridChange>
      </w:tblGrid>
      <w:tr>
        <w:trPr>
          <w:cantSplit w:val="0"/>
          <w:tblHeader w:val="0"/>
        </w:trPr>
        <w:tc>
          <w:tcPr/>
          <w:p w:rsidR="00000000" w:rsidDel="00000000" w:rsidP="00000000" w:rsidRDefault="00000000" w:rsidRPr="00000000" w14:paraId="0000009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0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Должность подверженная коррупционным рискам</w:t>
            </w:r>
          </w:p>
        </w:tc>
        <w:tc>
          <w:tcPr/>
          <w:p w:rsidR="00000000" w:rsidDel="00000000" w:rsidP="00000000" w:rsidRDefault="00000000" w:rsidRPr="00000000" w14:paraId="0000009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Должностные полномочия содержащие коррупционные риски</w:t>
            </w:r>
          </w:p>
        </w:tc>
        <w:tc>
          <w:tcPr/>
          <w:p w:rsidR="00000000" w:rsidDel="00000000" w:rsidP="00000000" w:rsidRDefault="00000000" w:rsidRPr="00000000" w14:paraId="000000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Коррупционный риск</w:t>
            </w:r>
          </w:p>
        </w:tc>
      </w:tr>
      <w:tr>
        <w:trPr>
          <w:cantSplit w:val="0"/>
          <w:tblHeader w:val="0"/>
        </w:trPr>
        <w:tc>
          <w:tcPr/>
          <w:p w:rsidR="00000000" w:rsidDel="00000000" w:rsidP="00000000" w:rsidRDefault="00000000" w:rsidRPr="00000000" w14:paraId="0000009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8">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9">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A">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B">
      <w:pPr>
        <w:jc w:val="both"/>
        <w:rPr/>
      </w:pPr>
      <w:r w:rsidDel="00000000" w:rsidR="00000000" w:rsidRPr="00000000">
        <w:rPr>
          <w:rtl w:val="0"/>
        </w:rPr>
      </w:r>
    </w:p>
    <w:sectPr>
      <w:headerReference r:id="rId6" w:type="default"/>
      <w:pgSz w:h="16838" w:w="11906" w:orient="portrait"/>
      <w:pgMar w:bottom="851" w:top="851" w:left="851"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i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